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4CF869FF" w:rsidR="00E75AB4" w:rsidRPr="00241E7C" w:rsidRDefault="00E75AB4" w:rsidP="00E75AB4">
      <w:pPr>
        <w:pStyle w:val="CRCoverPage"/>
        <w:tabs>
          <w:tab w:val="right" w:pos="9639"/>
        </w:tabs>
        <w:spacing w:after="0"/>
        <w:rPr>
          <w:b/>
          <w:i/>
          <w:noProof/>
          <w:sz w:val="28"/>
        </w:rPr>
      </w:pPr>
      <w:r w:rsidRPr="00ED1F4F">
        <w:rPr>
          <w:b/>
          <w:noProof/>
          <w:sz w:val="24"/>
        </w:rPr>
        <w:t>3GPP TSG-RAN WG</w:t>
      </w:r>
      <w:r w:rsidR="001061D3">
        <w:rPr>
          <w:b/>
          <w:noProof/>
          <w:sz w:val="24"/>
        </w:rPr>
        <w:t>1</w:t>
      </w:r>
      <w:r w:rsidRPr="00ED1F4F">
        <w:rPr>
          <w:b/>
          <w:noProof/>
          <w:sz w:val="24"/>
        </w:rPr>
        <w:t xml:space="preserve"> Meeting #</w:t>
      </w:r>
      <w:r w:rsidR="008B66D1">
        <w:rPr>
          <w:b/>
          <w:noProof/>
          <w:sz w:val="24"/>
        </w:rPr>
        <w:t>102-e</w:t>
      </w:r>
      <w:r w:rsidRPr="00241E7C">
        <w:rPr>
          <w:b/>
          <w:i/>
          <w:noProof/>
          <w:sz w:val="24"/>
        </w:rPr>
        <w:t xml:space="preserve"> </w:t>
      </w:r>
      <w:r w:rsidRPr="00241E7C">
        <w:rPr>
          <w:b/>
          <w:i/>
          <w:noProof/>
          <w:sz w:val="28"/>
        </w:rPr>
        <w:tab/>
      </w:r>
      <w:r w:rsidR="00F1189A" w:rsidRPr="00BE63D5">
        <w:rPr>
          <w:b/>
          <w:noProof/>
          <w:sz w:val="28"/>
        </w:rPr>
        <w:t>R</w:t>
      </w:r>
      <w:r w:rsidR="00E122AD" w:rsidRPr="00BE63D5">
        <w:rPr>
          <w:b/>
          <w:noProof/>
          <w:sz w:val="28"/>
        </w:rPr>
        <w:t>1</w:t>
      </w:r>
      <w:r w:rsidR="00F1189A" w:rsidRPr="00BE63D5">
        <w:rPr>
          <w:b/>
          <w:noProof/>
          <w:sz w:val="28"/>
        </w:rPr>
        <w:t>-</w:t>
      </w:r>
      <w:r w:rsidR="00BE63D5" w:rsidRPr="00BE63D5">
        <w:rPr>
          <w:b/>
          <w:noProof/>
          <w:sz w:val="28"/>
        </w:rPr>
        <w:t>2006617</w:t>
      </w:r>
    </w:p>
    <w:p w14:paraId="10A8CD2E" w14:textId="285E79AD" w:rsidR="00463675" w:rsidRPr="00E75AB4" w:rsidRDefault="008B66D1" w:rsidP="00E75AB4">
      <w:pPr>
        <w:pStyle w:val="CRCoverPage"/>
        <w:outlineLvl w:val="0"/>
        <w:rPr>
          <w:b/>
          <w:noProof/>
          <w:sz w:val="24"/>
        </w:rPr>
      </w:pPr>
      <w:r w:rsidRPr="008B66D1">
        <w:rPr>
          <w:rFonts w:cs="Arial"/>
          <w:b/>
          <w:sz w:val="24"/>
          <w:szCs w:val="28"/>
          <w:lang w:eastAsia="zh-CN"/>
        </w:rPr>
        <w:t>e-Meeting, August 17th – 28th, 2020</w:t>
      </w:r>
    </w:p>
    <w:p w14:paraId="36D41190" w14:textId="77777777" w:rsidR="00463675" w:rsidRPr="007B1303" w:rsidRDefault="00463675">
      <w:pPr>
        <w:rPr>
          <w:rFonts w:ascii="Arial" w:hAnsi="Arial" w:cs="Arial"/>
          <w:color w:val="000000"/>
        </w:rPr>
      </w:pPr>
    </w:p>
    <w:p w14:paraId="00B28F78" w14:textId="08A5A8F3" w:rsidR="00100A42" w:rsidRPr="008B66D1" w:rsidRDefault="00100A42" w:rsidP="008B66D1">
      <w:pPr>
        <w:spacing w:after="60"/>
        <w:ind w:left="1985" w:hanging="1985"/>
        <w:rPr>
          <w:rFonts w:ascii="Arial" w:hAnsi="Arial" w:cs="Arial"/>
          <w:b/>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DC6947">
        <w:rPr>
          <w:rFonts w:ascii="Arial" w:hAnsi="Arial" w:cs="Arial"/>
          <w:bCs/>
          <w:color w:val="000000"/>
        </w:rPr>
        <w:t xml:space="preserve">LS reply </w:t>
      </w:r>
      <w:r w:rsidR="008B66D1">
        <w:rPr>
          <w:rFonts w:ascii="Arial" w:hAnsi="Arial" w:cs="Arial"/>
        </w:rPr>
        <w:t xml:space="preserve">on </w:t>
      </w:r>
      <w:r w:rsidR="008B66D1" w:rsidRPr="008B66D1">
        <w:rPr>
          <w:rFonts w:ascii="Arial" w:hAnsi="Arial" w:cs="Arial"/>
        </w:rPr>
        <w:t xml:space="preserve">feasibility of </w:t>
      </w:r>
      <w:proofErr w:type="spellStart"/>
      <w:r w:rsidR="008B66D1" w:rsidRPr="008B66D1">
        <w:rPr>
          <w:rFonts w:ascii="Arial" w:hAnsi="Arial" w:cs="Arial"/>
        </w:rPr>
        <w:t>ULFPTx</w:t>
      </w:r>
      <w:proofErr w:type="spellEnd"/>
      <w:r w:rsidR="008B66D1" w:rsidRPr="008B66D1">
        <w:rPr>
          <w:rFonts w:ascii="Arial" w:hAnsi="Arial" w:cs="Arial"/>
        </w:rPr>
        <w:t xml:space="preserve"> modes and transparent </w:t>
      </w:r>
      <w:proofErr w:type="spellStart"/>
      <w:r w:rsidR="008B66D1" w:rsidRPr="008B66D1">
        <w:rPr>
          <w:rFonts w:ascii="Arial" w:hAnsi="Arial" w:cs="Arial"/>
        </w:rPr>
        <w:t>TxD</w:t>
      </w:r>
      <w:proofErr w:type="spellEnd"/>
      <w:r w:rsidR="008B66D1" w:rsidRPr="008B66D1">
        <w:rPr>
          <w:rFonts w:ascii="Arial" w:hAnsi="Arial" w:cs="Arial"/>
        </w:rPr>
        <w:t xml:space="preserve"> for certain UE implementations</w:t>
      </w:r>
    </w:p>
    <w:p w14:paraId="10CCA28E" w14:textId="710CA1C4"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hyperlink r:id="rId7" w:history="1">
        <w:r w:rsidR="008B66D1">
          <w:rPr>
            <w:rStyle w:val="Hyperlink"/>
            <w:rFonts w:ascii="Arial" w:hAnsi="Arial" w:cs="Arial"/>
          </w:rPr>
          <w:t>R4-2009171</w:t>
        </w:r>
      </w:hyperlink>
      <w:r w:rsidRPr="001061D3">
        <w:rPr>
          <w:rFonts w:ascii="Arial" w:hAnsi="Arial" w:cs="Arial"/>
          <w:color w:val="000000"/>
        </w:rPr>
        <w:t>,</w:t>
      </w:r>
      <w:r w:rsidRPr="007B1303">
        <w:rPr>
          <w:rFonts w:ascii="Arial" w:hAnsi="Arial" w:cs="Arial"/>
          <w:b/>
          <w:color w:val="000000"/>
        </w:rPr>
        <w:t xml:space="preserve"> </w:t>
      </w:r>
      <w:r w:rsidR="008B66D1" w:rsidRPr="008B66D1">
        <w:rPr>
          <w:rFonts w:ascii="Arial" w:hAnsi="Arial" w:cs="Arial"/>
        </w:rPr>
        <w:t xml:space="preserve">LS on feasibility of </w:t>
      </w:r>
      <w:proofErr w:type="spellStart"/>
      <w:r w:rsidR="008B66D1" w:rsidRPr="008B66D1">
        <w:rPr>
          <w:rFonts w:ascii="Arial" w:hAnsi="Arial" w:cs="Arial"/>
        </w:rPr>
        <w:t>ULFPTx</w:t>
      </w:r>
      <w:proofErr w:type="spellEnd"/>
      <w:r w:rsidR="008B66D1" w:rsidRPr="008B66D1">
        <w:rPr>
          <w:rFonts w:ascii="Arial" w:hAnsi="Arial" w:cs="Arial"/>
        </w:rPr>
        <w:t xml:space="preserve"> modes and transparent </w:t>
      </w:r>
      <w:proofErr w:type="spellStart"/>
      <w:r w:rsidR="008B66D1" w:rsidRPr="008B66D1">
        <w:rPr>
          <w:rFonts w:ascii="Arial" w:hAnsi="Arial" w:cs="Arial"/>
        </w:rPr>
        <w:t>TxD</w:t>
      </w:r>
      <w:proofErr w:type="spellEnd"/>
      <w:r w:rsidR="008B66D1" w:rsidRPr="008B66D1">
        <w:rPr>
          <w:rFonts w:ascii="Arial" w:hAnsi="Arial" w:cs="Arial"/>
        </w:rPr>
        <w:t xml:space="preserve"> for certain UE implementations</w:t>
      </w:r>
    </w:p>
    <w:p w14:paraId="1584E732" w14:textId="4CEF265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7A03EB">
        <w:rPr>
          <w:rFonts w:ascii="Arial" w:hAnsi="Arial" w:cs="Arial"/>
          <w:bCs/>
          <w:color w:val="000000"/>
        </w:rPr>
        <w:t>6</w:t>
      </w:r>
    </w:p>
    <w:p w14:paraId="26A63930" w14:textId="010E7B04"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6F5B1A" w:rsidRPr="006F5B1A">
        <w:rPr>
          <w:rFonts w:ascii="Arial" w:hAnsi="Arial" w:cs="Arial"/>
          <w:bCs/>
        </w:rPr>
        <w:t>NR_eMIMO</w:t>
      </w:r>
      <w:proofErr w:type="spellEnd"/>
      <w:r w:rsidR="006F5B1A" w:rsidRPr="006F5B1A">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122AD">
        <w:rPr>
          <w:rFonts w:ascii="Arial" w:hAnsi="Arial" w:cs="Arial"/>
          <w:bCs/>
          <w:color w:val="000000"/>
        </w:rPr>
        <w:t>Ericsson</w:t>
      </w:r>
      <w:r w:rsidR="00CB6A98" w:rsidRPr="007B1303">
        <w:rPr>
          <w:rFonts w:ascii="Arial" w:hAnsi="Arial" w:cs="Arial"/>
          <w:bCs/>
        </w:rPr>
        <w:t xml:space="preserve"> </w:t>
      </w:r>
    </w:p>
    <w:p w14:paraId="118B480F" w14:textId="3313044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6F5B1A">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0C80C93A"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6F5B1A">
        <w:rPr>
          <w:rFonts w:cs="Arial"/>
          <w:b w:val="0"/>
          <w:bCs/>
        </w:rPr>
        <w:t>Mark Harrison</w:t>
      </w:r>
    </w:p>
    <w:p w14:paraId="532C7B12" w14:textId="3DF6DC12"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6F5B1A">
        <w:rPr>
          <w:rFonts w:cs="Arial"/>
          <w:b w:val="0"/>
          <w:bCs/>
        </w:rPr>
        <w:t>mark.h.harrison</w:t>
      </w:r>
      <w:r w:rsidR="009C7F09" w:rsidRPr="007B1303">
        <w:rPr>
          <w:rFonts w:cs="Arial"/>
          <w:b w:val="0"/>
          <w:bCs/>
        </w:rPr>
        <w:t>@ericsson.com</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172430C3" w14:textId="66A2A808" w:rsidR="00340AC4" w:rsidRDefault="00340AC4" w:rsidP="00C6441F">
      <w:pPr>
        <w:spacing w:after="120"/>
        <w:jc w:val="both"/>
        <w:rPr>
          <w:rFonts w:ascii="Arial" w:hAnsi="Arial" w:cs="Arial"/>
          <w:color w:val="000000"/>
        </w:rPr>
      </w:pPr>
      <w:r w:rsidRPr="00340AC4">
        <w:rPr>
          <w:rFonts w:ascii="Arial" w:hAnsi="Arial" w:cs="Arial"/>
          <w:color w:val="000000"/>
        </w:rPr>
        <w:t>R4-2009171</w:t>
      </w:r>
      <w:r>
        <w:rPr>
          <w:rFonts w:ascii="Arial" w:hAnsi="Arial" w:cs="Arial"/>
          <w:color w:val="000000"/>
        </w:rPr>
        <w:t xml:space="preserve"> asks for RAN1’s view on two </w:t>
      </w:r>
      <w:r w:rsidR="00ED6D44">
        <w:rPr>
          <w:rFonts w:ascii="Arial" w:hAnsi="Arial" w:cs="Arial"/>
          <w:color w:val="000000"/>
        </w:rPr>
        <w:t xml:space="preserve">topics: </w:t>
      </w:r>
      <w:r w:rsidR="00125F5F">
        <w:rPr>
          <w:rFonts w:ascii="Arial" w:hAnsi="Arial" w:cs="Arial"/>
          <w:color w:val="000000"/>
        </w:rPr>
        <w:t xml:space="preserve">methods for </w:t>
      </w:r>
      <w:r w:rsidR="00ED6D44">
        <w:rPr>
          <w:rFonts w:ascii="Arial" w:hAnsi="Arial" w:cs="Arial"/>
          <w:color w:val="000000"/>
        </w:rPr>
        <w:t xml:space="preserve">SRS port mapping in the context of transparent </w:t>
      </w:r>
      <w:proofErr w:type="spellStart"/>
      <w:r w:rsidR="00ED6D44">
        <w:rPr>
          <w:rFonts w:ascii="Arial" w:hAnsi="Arial" w:cs="Arial"/>
          <w:color w:val="000000"/>
        </w:rPr>
        <w:t>TxD</w:t>
      </w:r>
      <w:proofErr w:type="spellEnd"/>
      <w:r w:rsidR="00ED6D44">
        <w:rPr>
          <w:rFonts w:ascii="Arial" w:hAnsi="Arial" w:cs="Arial"/>
          <w:color w:val="000000"/>
        </w:rPr>
        <w:t xml:space="preserve"> and </w:t>
      </w:r>
      <w:proofErr w:type="spellStart"/>
      <w:r w:rsidR="00ED6D44">
        <w:rPr>
          <w:rFonts w:ascii="Arial" w:hAnsi="Arial" w:cs="Arial"/>
          <w:color w:val="000000"/>
        </w:rPr>
        <w:t>ULFPTx</w:t>
      </w:r>
      <w:proofErr w:type="spellEnd"/>
      <w:r w:rsidR="00550802">
        <w:rPr>
          <w:rFonts w:ascii="Arial" w:hAnsi="Arial" w:cs="Arial"/>
          <w:color w:val="000000"/>
        </w:rPr>
        <w:t xml:space="preserve"> </w:t>
      </w:r>
      <w:r w:rsidR="00ED6D44">
        <w:rPr>
          <w:rFonts w:ascii="Arial" w:hAnsi="Arial" w:cs="Arial"/>
          <w:color w:val="000000"/>
        </w:rPr>
        <w:t xml:space="preserve">and on whether </w:t>
      </w:r>
      <w:proofErr w:type="spellStart"/>
      <w:r w:rsidR="00ED6D44">
        <w:rPr>
          <w:rFonts w:ascii="Arial" w:hAnsi="Arial" w:cs="Arial"/>
          <w:color w:val="000000"/>
        </w:rPr>
        <w:t>ULFPTx</w:t>
      </w:r>
      <w:proofErr w:type="spellEnd"/>
      <w:r w:rsidR="00ED6D44">
        <w:rPr>
          <w:rFonts w:ascii="Arial" w:hAnsi="Arial" w:cs="Arial"/>
          <w:color w:val="000000"/>
        </w:rPr>
        <w:t xml:space="preserve"> Mode 2 and </w:t>
      </w:r>
      <w:r w:rsidR="00125F5F">
        <w:rPr>
          <w:rFonts w:ascii="Arial" w:hAnsi="Arial" w:cs="Arial"/>
          <w:color w:val="000000"/>
        </w:rPr>
        <w:t xml:space="preserve">the ‘other mode’ (that is, </w:t>
      </w:r>
      <w:r w:rsidR="00ED6D44">
        <w:rPr>
          <w:rFonts w:ascii="Arial" w:hAnsi="Arial" w:cs="Arial"/>
          <w:color w:val="000000"/>
        </w:rPr>
        <w:t xml:space="preserve">when </w:t>
      </w:r>
      <w:r w:rsidR="00125F5F" w:rsidRPr="00125F5F">
        <w:rPr>
          <w:rFonts w:ascii="Arial" w:hAnsi="Arial" w:cs="Arial"/>
          <w:color w:val="000000"/>
        </w:rPr>
        <w:t>ul-</w:t>
      </w:r>
      <w:proofErr w:type="spellStart"/>
      <w:r w:rsidR="00125F5F" w:rsidRPr="00125F5F">
        <w:rPr>
          <w:rFonts w:ascii="Arial" w:hAnsi="Arial" w:cs="Arial"/>
          <w:color w:val="000000"/>
        </w:rPr>
        <w:t>FullPowerTransmission</w:t>
      </w:r>
      <w:proofErr w:type="spellEnd"/>
      <w:r w:rsidR="00125F5F" w:rsidRPr="00125F5F">
        <w:rPr>
          <w:rFonts w:ascii="Arial" w:hAnsi="Arial" w:cs="Arial"/>
          <w:color w:val="000000"/>
        </w:rPr>
        <w:t xml:space="preserve"> in </w:t>
      </w:r>
      <w:r w:rsidR="00125F5F" w:rsidRPr="00125F5F">
        <w:rPr>
          <w:rFonts w:ascii="Arial" w:hAnsi="Arial" w:cs="Arial"/>
          <w:i/>
          <w:iCs/>
          <w:color w:val="000000"/>
        </w:rPr>
        <w:t>PUSCH-Config</w:t>
      </w:r>
      <w:r w:rsidR="00125F5F" w:rsidRPr="00125F5F">
        <w:rPr>
          <w:rFonts w:ascii="Arial" w:hAnsi="Arial" w:cs="Arial"/>
          <w:color w:val="000000"/>
        </w:rPr>
        <w:t xml:space="preserve"> is set to fullpowerMode2</w:t>
      </w:r>
      <w:r w:rsidR="00125F5F">
        <w:rPr>
          <w:rFonts w:ascii="Arial" w:hAnsi="Arial" w:cs="Arial"/>
          <w:color w:val="000000"/>
        </w:rPr>
        <w:t xml:space="preserve"> or </w:t>
      </w:r>
      <w:proofErr w:type="spellStart"/>
      <w:r w:rsidR="00125F5F" w:rsidRPr="00125F5F">
        <w:rPr>
          <w:rFonts w:ascii="Arial" w:hAnsi="Arial" w:cs="Arial"/>
          <w:color w:val="000000"/>
        </w:rPr>
        <w:t>fullpower</w:t>
      </w:r>
      <w:proofErr w:type="spellEnd"/>
      <w:r w:rsidR="00125F5F" w:rsidRPr="00125F5F">
        <w:rPr>
          <w:rFonts w:ascii="Arial" w:hAnsi="Arial" w:cs="Arial"/>
          <w:color w:val="000000"/>
        </w:rPr>
        <w:t>,</w:t>
      </w:r>
      <w:r w:rsidR="00125F5F">
        <w:rPr>
          <w:rFonts w:ascii="Arial" w:hAnsi="Arial" w:cs="Arial"/>
          <w:color w:val="000000"/>
        </w:rPr>
        <w:t xml:space="preserve"> respectively) can be used for FR2.</w:t>
      </w:r>
    </w:p>
    <w:p w14:paraId="38E59C29" w14:textId="14E7D760" w:rsidR="00125F5F" w:rsidRPr="00125F5F" w:rsidRDefault="00125F5F" w:rsidP="00C6441F">
      <w:pPr>
        <w:spacing w:after="120"/>
        <w:jc w:val="both"/>
        <w:rPr>
          <w:rFonts w:ascii="Arial" w:hAnsi="Arial" w:cs="Arial"/>
          <w:color w:val="000000"/>
          <w:u w:val="single"/>
        </w:rPr>
      </w:pPr>
      <w:r w:rsidRPr="00125F5F">
        <w:rPr>
          <w:rFonts w:ascii="Arial" w:hAnsi="Arial" w:cs="Arial"/>
          <w:color w:val="000000"/>
          <w:u w:val="single"/>
        </w:rPr>
        <w:t>SRS port mapping</w:t>
      </w:r>
    </w:p>
    <w:p w14:paraId="7AE4ACAA" w14:textId="6C68BC1E" w:rsidR="00153DDD" w:rsidRDefault="00C62905" w:rsidP="00C6441F">
      <w:pPr>
        <w:spacing w:after="120"/>
        <w:jc w:val="both"/>
        <w:rPr>
          <w:rFonts w:ascii="Arial" w:hAnsi="Arial" w:cs="Arial"/>
          <w:color w:val="000000"/>
        </w:rPr>
      </w:pPr>
      <w:r>
        <w:rPr>
          <w:rFonts w:ascii="Arial" w:hAnsi="Arial" w:cs="Arial"/>
          <w:color w:val="000000"/>
        </w:rPr>
        <w:t xml:space="preserve">According to 38.211 subclause </w:t>
      </w:r>
      <w:r w:rsidR="008637D8">
        <w:rPr>
          <w:rFonts w:ascii="Arial" w:hAnsi="Arial" w:cs="Arial"/>
          <w:color w:val="000000"/>
        </w:rPr>
        <w:t>6.2</w:t>
      </w:r>
      <w:r>
        <w:rPr>
          <w:rFonts w:ascii="Arial" w:hAnsi="Arial" w:cs="Arial"/>
          <w:color w:val="000000"/>
        </w:rPr>
        <w:t>, SRS and PUSCH map to ports 1000 and 1001</w:t>
      </w:r>
      <w:r w:rsidR="00D63019">
        <w:rPr>
          <w:rFonts w:ascii="Arial" w:hAnsi="Arial" w:cs="Arial"/>
          <w:color w:val="000000"/>
        </w:rPr>
        <w:t>, which is consistent with Method-1, since each SRS and PUSCH port is mapped to a distinct PA.  Method-2 maps a combination of PAs to ports 1000 and 1001</w:t>
      </w:r>
      <w:r w:rsidR="0097440F">
        <w:rPr>
          <w:rFonts w:ascii="Arial" w:hAnsi="Arial" w:cs="Arial"/>
          <w:color w:val="000000"/>
        </w:rPr>
        <w:t xml:space="preserve">.  In this case, the UE should virtualize SRS and PUSCH consistently regardless of the precoder and number of layers used in transmission.  For example, if the UE virtualizes port 1000 with PA1+PA2 and port 1001 with PA1-PA2, it should transmit </w:t>
      </w:r>
      <w:r w:rsidR="00FB4EF3">
        <w:rPr>
          <w:rFonts w:ascii="Arial" w:hAnsi="Arial" w:cs="Arial"/>
          <w:color w:val="000000"/>
        </w:rPr>
        <w:t>consistently when TPMIs [1 0], [0 1], and [[1 0</w:t>
      </w:r>
      <w:proofErr w:type="gramStart"/>
      <w:r w:rsidR="00FB4EF3">
        <w:rPr>
          <w:rFonts w:ascii="Arial" w:hAnsi="Arial" w:cs="Arial"/>
          <w:color w:val="000000"/>
        </w:rPr>
        <w:t>];[</w:t>
      </w:r>
      <w:proofErr w:type="gramEnd"/>
      <w:r w:rsidR="00FB4EF3">
        <w:rPr>
          <w:rFonts w:ascii="Arial" w:hAnsi="Arial" w:cs="Arial"/>
          <w:color w:val="000000"/>
        </w:rPr>
        <w:t>0 1]] are used.  When TPMI [</w:t>
      </w:r>
      <w:r w:rsidR="008637D8">
        <w:rPr>
          <w:rFonts w:ascii="Arial" w:hAnsi="Arial" w:cs="Arial"/>
          <w:color w:val="000000"/>
        </w:rPr>
        <w:t>1 0</w:t>
      </w:r>
      <w:r w:rsidR="00FB4EF3">
        <w:rPr>
          <w:rFonts w:ascii="Arial" w:hAnsi="Arial" w:cs="Arial"/>
          <w:color w:val="000000"/>
        </w:rPr>
        <w:t xml:space="preserve">] is used in this case, gNB should </w:t>
      </w:r>
      <w:r w:rsidR="008637D8">
        <w:rPr>
          <w:rFonts w:ascii="Arial" w:hAnsi="Arial" w:cs="Arial"/>
          <w:color w:val="000000"/>
        </w:rPr>
        <w:t>receive</w:t>
      </w:r>
      <w:r w:rsidR="00153DDD">
        <w:rPr>
          <w:rFonts w:ascii="Arial" w:hAnsi="Arial" w:cs="Arial"/>
          <w:color w:val="000000"/>
        </w:rPr>
        <w:t xml:space="preserve"> according to</w:t>
      </w:r>
      <w:r w:rsidR="00FB4EF3">
        <w:rPr>
          <w:rFonts w:ascii="Arial" w:hAnsi="Arial" w:cs="Arial"/>
          <w:color w:val="000000"/>
        </w:rPr>
        <w:t xml:space="preserve"> PA1+PA2, and when [[1 0];[0 1]] is used, it should </w:t>
      </w:r>
      <w:r w:rsidR="00153DDD">
        <w:rPr>
          <w:rFonts w:ascii="Arial" w:hAnsi="Arial" w:cs="Arial"/>
          <w:color w:val="000000"/>
        </w:rPr>
        <w:t xml:space="preserve">receive according to </w:t>
      </w:r>
      <w:r w:rsidR="00FB4EF3">
        <w:rPr>
          <w:rFonts w:ascii="Arial" w:hAnsi="Arial" w:cs="Arial"/>
          <w:color w:val="000000"/>
        </w:rPr>
        <w:t xml:space="preserve">PA1+PA2 on the first layer and PA1-PA2 on the second layer.  </w:t>
      </w:r>
      <w:r w:rsidR="006976B0">
        <w:rPr>
          <w:rFonts w:ascii="Arial" w:hAnsi="Arial" w:cs="Arial"/>
          <w:color w:val="000000"/>
        </w:rPr>
        <w:t xml:space="preserve">With this two layer TPMI and virtualization, the layers </w:t>
      </w:r>
      <w:r w:rsidR="008637D8">
        <w:rPr>
          <w:rFonts w:ascii="Arial" w:hAnsi="Arial" w:cs="Arial"/>
          <w:color w:val="000000"/>
        </w:rPr>
        <w:t xml:space="preserve">y(0) and y(1) </w:t>
      </w:r>
      <w:r w:rsidR="006976B0">
        <w:rPr>
          <w:rFonts w:ascii="Arial" w:hAnsi="Arial" w:cs="Arial"/>
          <w:color w:val="000000"/>
        </w:rPr>
        <w:t xml:space="preserve">combine on the PAs such that PA1 will carry (y(0)+y(1)) whereas PA2 will carry (y(0)-y(1)).  Carrying two layers per PA can double PAPR, and so is not consistent with the </w:t>
      </w:r>
      <w:proofErr w:type="spellStart"/>
      <w:r w:rsidR="006976B0">
        <w:rPr>
          <w:rFonts w:ascii="Arial" w:hAnsi="Arial" w:cs="Arial"/>
          <w:color w:val="000000"/>
        </w:rPr>
        <w:t>ULFPTx</w:t>
      </w:r>
      <w:proofErr w:type="spellEnd"/>
      <w:r w:rsidR="006976B0">
        <w:rPr>
          <w:rFonts w:ascii="Arial" w:hAnsi="Arial" w:cs="Arial"/>
          <w:color w:val="000000"/>
        </w:rPr>
        <w:t xml:space="preserve"> or transparent </w:t>
      </w:r>
      <w:proofErr w:type="spellStart"/>
      <w:r w:rsidR="006976B0">
        <w:rPr>
          <w:rFonts w:ascii="Arial" w:hAnsi="Arial" w:cs="Arial"/>
          <w:color w:val="000000"/>
        </w:rPr>
        <w:t>TxD</w:t>
      </w:r>
      <w:proofErr w:type="spellEnd"/>
      <w:r w:rsidR="006976B0">
        <w:rPr>
          <w:rFonts w:ascii="Arial" w:hAnsi="Arial" w:cs="Arial"/>
          <w:color w:val="000000"/>
        </w:rPr>
        <w:t xml:space="preserve"> approaches targeting PA power reduction.  </w:t>
      </w:r>
      <w:r w:rsidR="00153DDD">
        <w:rPr>
          <w:rFonts w:ascii="Arial" w:hAnsi="Arial" w:cs="Arial"/>
          <w:color w:val="000000"/>
        </w:rPr>
        <w:t xml:space="preserve">This PAPR degradation could be avoided by transmitting </w:t>
      </w:r>
      <w:proofErr w:type="gramStart"/>
      <w:r w:rsidR="00153DDD">
        <w:rPr>
          <w:rFonts w:ascii="Arial" w:hAnsi="Arial" w:cs="Arial"/>
          <w:color w:val="000000"/>
        </w:rPr>
        <w:t>y(</w:t>
      </w:r>
      <w:proofErr w:type="gramEnd"/>
      <w:r w:rsidR="00153DDD">
        <w:rPr>
          <w:rFonts w:ascii="Arial" w:hAnsi="Arial" w:cs="Arial"/>
          <w:color w:val="000000"/>
        </w:rPr>
        <w:t xml:space="preserve">0) and y(1) on PA1 and PA2, respectively, </w:t>
      </w:r>
      <w:r w:rsidR="00403FA5">
        <w:rPr>
          <w:rFonts w:ascii="Arial" w:hAnsi="Arial" w:cs="Arial"/>
          <w:color w:val="000000"/>
        </w:rPr>
        <w:t xml:space="preserve">for 2 layer transmission, and according to Method-2 for 1 layer transmission, </w:t>
      </w:r>
      <w:r w:rsidR="00153DDD">
        <w:rPr>
          <w:rFonts w:ascii="Arial" w:hAnsi="Arial" w:cs="Arial"/>
          <w:color w:val="000000"/>
        </w:rPr>
        <w:t xml:space="preserve">but then SRS and PUSCH </w:t>
      </w:r>
      <w:r w:rsidR="005A4B04">
        <w:rPr>
          <w:rFonts w:ascii="Arial" w:hAnsi="Arial" w:cs="Arial"/>
          <w:color w:val="000000"/>
        </w:rPr>
        <w:t>transmission would not be according to RAN1 specifications</w:t>
      </w:r>
      <w:r w:rsidR="00153DDD">
        <w:rPr>
          <w:rFonts w:ascii="Arial" w:hAnsi="Arial" w:cs="Arial"/>
          <w:color w:val="000000"/>
        </w:rPr>
        <w:t xml:space="preserve">. </w:t>
      </w:r>
    </w:p>
    <w:p w14:paraId="5F8B3712" w14:textId="69E05A4C" w:rsidR="001F5FD0" w:rsidRDefault="006976B0" w:rsidP="00C6441F">
      <w:pPr>
        <w:spacing w:after="120"/>
        <w:jc w:val="both"/>
        <w:rPr>
          <w:rFonts w:ascii="Arial" w:hAnsi="Arial" w:cs="Arial"/>
          <w:color w:val="000000"/>
        </w:rPr>
      </w:pPr>
      <w:r>
        <w:rPr>
          <w:rFonts w:ascii="Arial" w:hAnsi="Arial" w:cs="Arial"/>
          <w:color w:val="000000"/>
        </w:rPr>
        <w:t>By contrast, if Method-1 is used</w:t>
      </w:r>
      <w:r w:rsidR="005A7F1A">
        <w:rPr>
          <w:rFonts w:ascii="Arial" w:hAnsi="Arial" w:cs="Arial"/>
          <w:color w:val="000000"/>
        </w:rPr>
        <w:t xml:space="preserve">, when TPMI [0 1] or [1 0] used, gNB should </w:t>
      </w:r>
      <w:r w:rsidR="00153DDD">
        <w:rPr>
          <w:rFonts w:ascii="Arial" w:hAnsi="Arial" w:cs="Arial"/>
          <w:color w:val="000000"/>
        </w:rPr>
        <w:t xml:space="preserve">receive according to </w:t>
      </w:r>
      <w:r w:rsidR="005A7F1A">
        <w:rPr>
          <w:rFonts w:ascii="Arial" w:hAnsi="Arial" w:cs="Arial"/>
          <w:color w:val="000000"/>
        </w:rPr>
        <w:t xml:space="preserve">PA1 or PA2, respectively.  When TPMI [[1 0];[0 1]] is used, the layers do not combine on the PAs; PA1 will carry y(0) and  PA2 will carry y(1), which does not impact PAPR, and can be used to facilitate </w:t>
      </w:r>
      <w:proofErr w:type="spellStart"/>
      <w:r w:rsidR="005A7F1A">
        <w:rPr>
          <w:rFonts w:ascii="Arial" w:hAnsi="Arial" w:cs="Arial"/>
          <w:color w:val="000000"/>
        </w:rPr>
        <w:t>ULFPTx</w:t>
      </w:r>
      <w:proofErr w:type="spellEnd"/>
      <w:r w:rsidR="005A7F1A">
        <w:rPr>
          <w:rFonts w:ascii="Arial" w:hAnsi="Arial" w:cs="Arial"/>
          <w:color w:val="000000"/>
        </w:rPr>
        <w:t xml:space="preserve"> or transparent </w:t>
      </w:r>
      <w:proofErr w:type="spellStart"/>
      <w:r w:rsidR="005A7F1A">
        <w:rPr>
          <w:rFonts w:ascii="Arial" w:hAnsi="Arial" w:cs="Arial"/>
          <w:color w:val="000000"/>
        </w:rPr>
        <w:t>TxD</w:t>
      </w:r>
      <w:proofErr w:type="spellEnd"/>
      <w:r w:rsidR="005A7F1A">
        <w:rPr>
          <w:rFonts w:ascii="Arial" w:hAnsi="Arial" w:cs="Arial"/>
          <w:color w:val="000000"/>
        </w:rPr>
        <w:t xml:space="preserve"> approaches targeting PA power reduction.</w:t>
      </w:r>
    </w:p>
    <w:p w14:paraId="221F24CD" w14:textId="2345F2CA" w:rsidR="003D532B" w:rsidRDefault="005A7F1A" w:rsidP="00A00EF9">
      <w:pPr>
        <w:spacing w:after="120"/>
        <w:jc w:val="both"/>
        <w:rPr>
          <w:rFonts w:ascii="Arial" w:hAnsi="Arial" w:cs="Arial"/>
          <w:color w:val="000000"/>
          <w:lang w:val="en-US"/>
        </w:rPr>
      </w:pPr>
      <w:r w:rsidRPr="00DE67DF">
        <w:rPr>
          <w:rFonts w:ascii="Arial" w:hAnsi="Arial" w:cs="Arial"/>
          <w:b/>
          <w:bCs/>
          <w:color w:val="000000"/>
          <w:lang w:val="en-US"/>
        </w:rPr>
        <w:t>Response to question 1</w:t>
      </w:r>
      <w:r>
        <w:rPr>
          <w:rFonts w:ascii="Arial" w:hAnsi="Arial" w:cs="Arial"/>
          <w:color w:val="000000"/>
          <w:lang w:val="en-US"/>
        </w:rPr>
        <w:t>: Method-1 is feasible to transmit UL full power</w:t>
      </w:r>
      <w:r w:rsidR="00DE67DF">
        <w:rPr>
          <w:rFonts w:ascii="Arial" w:hAnsi="Arial" w:cs="Arial"/>
          <w:color w:val="000000"/>
          <w:lang w:val="en-US"/>
        </w:rPr>
        <w:t xml:space="preserve"> when </w:t>
      </w:r>
      <w:proofErr w:type="spellStart"/>
      <w:r w:rsidR="00DE67DF">
        <w:rPr>
          <w:rFonts w:ascii="Arial" w:hAnsi="Arial" w:cs="Arial"/>
          <w:color w:val="000000"/>
          <w:lang w:val="en-US"/>
        </w:rPr>
        <w:t>ULFPTx</w:t>
      </w:r>
      <w:proofErr w:type="spellEnd"/>
      <w:r w:rsidR="00DE67DF">
        <w:rPr>
          <w:rFonts w:ascii="Arial" w:hAnsi="Arial" w:cs="Arial"/>
          <w:color w:val="000000"/>
          <w:lang w:val="en-US"/>
        </w:rPr>
        <w:t xml:space="preserve"> and 2 port SRS are configured, while Method-2 </w:t>
      </w:r>
      <w:r w:rsidR="008637D8">
        <w:rPr>
          <w:rFonts w:ascii="Arial" w:hAnsi="Arial" w:cs="Arial"/>
          <w:color w:val="000000"/>
          <w:lang w:val="en-US"/>
        </w:rPr>
        <w:t xml:space="preserve">is not feasible in UEs in order to </w:t>
      </w:r>
      <w:r w:rsidR="00DE67DF">
        <w:rPr>
          <w:rFonts w:ascii="Arial" w:hAnsi="Arial" w:cs="Arial"/>
          <w:color w:val="000000"/>
          <w:lang w:val="en-US"/>
        </w:rPr>
        <w:t>facilitate PA power reduction.</w:t>
      </w:r>
    </w:p>
    <w:p w14:paraId="00654902" w14:textId="59FD73CE" w:rsidR="00DE67DF" w:rsidRDefault="00DE67DF" w:rsidP="00A00EF9">
      <w:pPr>
        <w:spacing w:after="120"/>
        <w:jc w:val="both"/>
        <w:rPr>
          <w:rFonts w:ascii="Arial" w:hAnsi="Arial" w:cs="Arial"/>
          <w:color w:val="000000"/>
          <w:lang w:val="en-US"/>
        </w:rPr>
      </w:pPr>
      <w:r w:rsidRPr="00DE67DF">
        <w:rPr>
          <w:rFonts w:ascii="Arial" w:hAnsi="Arial" w:cs="Arial"/>
          <w:b/>
          <w:bCs/>
          <w:color w:val="000000"/>
          <w:lang w:val="en-US"/>
        </w:rPr>
        <w:t>Response to question 2</w:t>
      </w:r>
      <w:r>
        <w:rPr>
          <w:rFonts w:ascii="Arial" w:hAnsi="Arial" w:cs="Arial"/>
          <w:color w:val="000000"/>
          <w:lang w:val="en-US"/>
        </w:rPr>
        <w:t xml:space="preserve">: Method-1 can be used for any Rel-16 </w:t>
      </w:r>
      <w:proofErr w:type="spellStart"/>
      <w:r>
        <w:rPr>
          <w:rFonts w:ascii="Arial" w:hAnsi="Arial" w:cs="Arial"/>
          <w:color w:val="000000"/>
          <w:lang w:val="en-US"/>
        </w:rPr>
        <w:t>ULFPTx</w:t>
      </w:r>
      <w:proofErr w:type="spellEnd"/>
      <w:r>
        <w:rPr>
          <w:rFonts w:ascii="Arial" w:hAnsi="Arial" w:cs="Arial"/>
          <w:color w:val="000000"/>
          <w:lang w:val="en-US"/>
        </w:rPr>
        <w:t xml:space="preserve"> mode.</w:t>
      </w:r>
    </w:p>
    <w:p w14:paraId="6D7CCC99" w14:textId="77777777" w:rsidR="003815EA" w:rsidRDefault="003815EA" w:rsidP="00A00EF9">
      <w:pPr>
        <w:spacing w:after="120"/>
        <w:jc w:val="both"/>
        <w:rPr>
          <w:rFonts w:ascii="Arial" w:hAnsi="Arial" w:cs="Arial"/>
          <w:color w:val="000000"/>
          <w:u w:val="single"/>
          <w:lang w:val="en-US"/>
        </w:rPr>
      </w:pPr>
    </w:p>
    <w:p w14:paraId="6B5089A3" w14:textId="5CD8352C" w:rsidR="003815EA" w:rsidRPr="003815EA" w:rsidRDefault="003815EA" w:rsidP="00A00EF9">
      <w:pPr>
        <w:spacing w:after="120"/>
        <w:jc w:val="both"/>
        <w:rPr>
          <w:rFonts w:ascii="Arial" w:hAnsi="Arial" w:cs="Arial"/>
          <w:color w:val="000000"/>
          <w:u w:val="single"/>
          <w:lang w:val="en-US"/>
        </w:rPr>
      </w:pPr>
      <w:proofErr w:type="spellStart"/>
      <w:r w:rsidRPr="003815EA">
        <w:rPr>
          <w:rFonts w:ascii="Arial" w:hAnsi="Arial" w:cs="Arial"/>
          <w:color w:val="000000"/>
          <w:u w:val="single"/>
          <w:lang w:val="en-US"/>
        </w:rPr>
        <w:t>ULFPTx</w:t>
      </w:r>
      <w:proofErr w:type="spellEnd"/>
      <w:r w:rsidRPr="003815EA">
        <w:rPr>
          <w:rFonts w:ascii="Arial" w:hAnsi="Arial" w:cs="Arial"/>
          <w:color w:val="000000"/>
          <w:u w:val="single"/>
          <w:lang w:val="en-US"/>
        </w:rPr>
        <w:t xml:space="preserve"> modes for FR2</w:t>
      </w:r>
    </w:p>
    <w:p w14:paraId="38EF7E2F" w14:textId="631FC93D" w:rsidR="00DE67DF" w:rsidRDefault="00AD486A" w:rsidP="00A00EF9">
      <w:pPr>
        <w:spacing w:after="120"/>
        <w:jc w:val="both"/>
        <w:rPr>
          <w:rFonts w:ascii="Arial" w:hAnsi="Arial" w:cs="Arial"/>
          <w:color w:val="000000"/>
          <w:lang w:val="en-US"/>
        </w:rPr>
      </w:pPr>
      <w:r>
        <w:rPr>
          <w:rFonts w:ascii="Arial" w:hAnsi="Arial" w:cs="Arial"/>
          <w:color w:val="000000"/>
          <w:lang w:val="en-US"/>
        </w:rPr>
        <w:t xml:space="preserve">RAN1 specifications do not restrict </w:t>
      </w:r>
      <w:proofErr w:type="spellStart"/>
      <w:r>
        <w:rPr>
          <w:rFonts w:ascii="Arial" w:hAnsi="Arial" w:cs="Arial"/>
          <w:color w:val="000000"/>
          <w:lang w:val="en-US"/>
        </w:rPr>
        <w:t>ULFPTx</w:t>
      </w:r>
      <w:proofErr w:type="spellEnd"/>
      <w:r>
        <w:rPr>
          <w:rFonts w:ascii="Arial" w:hAnsi="Arial" w:cs="Arial"/>
          <w:color w:val="000000"/>
          <w:lang w:val="en-US"/>
        </w:rPr>
        <w:t xml:space="preserve"> modes according to FR1 or FR2 operation, and RAN1 is not aware of limitations in FR2 operation that preclude the use of any full power mode.  It should be noted that </w:t>
      </w:r>
      <w:r>
        <w:rPr>
          <w:rFonts w:ascii="Arial" w:hAnsi="Arial" w:cs="Arial"/>
          <w:color w:val="000000"/>
        </w:rPr>
        <w:t xml:space="preserve">UE capability for full power modes is indicated independently, and so UE implementations that support Mode 1 are also free to support the other two </w:t>
      </w:r>
      <w:proofErr w:type="spellStart"/>
      <w:r>
        <w:rPr>
          <w:rFonts w:ascii="Arial" w:hAnsi="Arial" w:cs="Arial"/>
          <w:color w:val="000000"/>
        </w:rPr>
        <w:t>ULFPTx</w:t>
      </w:r>
      <w:proofErr w:type="spellEnd"/>
      <w:r>
        <w:rPr>
          <w:rFonts w:ascii="Arial" w:hAnsi="Arial" w:cs="Arial"/>
          <w:color w:val="000000"/>
        </w:rPr>
        <w:t xml:space="preserve"> modes.</w:t>
      </w:r>
      <w:r w:rsidR="009979E4">
        <w:rPr>
          <w:rFonts w:ascii="Arial" w:hAnsi="Arial" w:cs="Arial"/>
          <w:color w:val="000000"/>
        </w:rPr>
        <w:t xml:space="preserve">  Furthermore, </w:t>
      </w:r>
      <w:r w:rsidR="00393F4A">
        <w:rPr>
          <w:rFonts w:ascii="Arial" w:hAnsi="Arial" w:cs="Arial"/>
          <w:color w:val="000000"/>
        </w:rPr>
        <w:t xml:space="preserve">Mode 2 </w:t>
      </w:r>
      <w:r w:rsidR="009979E4">
        <w:rPr>
          <w:rFonts w:ascii="Arial" w:hAnsi="Arial" w:cs="Arial"/>
          <w:color w:val="000000"/>
        </w:rPr>
        <w:t xml:space="preserve">full power indication is according to either or both of SRI and TPMI for Mode 2, so UE implementations that virtualize and/or have increased PA power per Tx chain to deliver full power should be </w:t>
      </w:r>
      <w:proofErr w:type="gramStart"/>
      <w:r w:rsidR="009979E4">
        <w:rPr>
          <w:rFonts w:ascii="Arial" w:hAnsi="Arial" w:cs="Arial"/>
          <w:color w:val="000000"/>
        </w:rPr>
        <w:t>taken into account</w:t>
      </w:r>
      <w:proofErr w:type="gramEnd"/>
      <w:r w:rsidR="009979E4">
        <w:rPr>
          <w:rFonts w:ascii="Arial" w:hAnsi="Arial" w:cs="Arial"/>
          <w:color w:val="000000"/>
        </w:rPr>
        <w:t xml:space="preserve">. </w:t>
      </w:r>
    </w:p>
    <w:p w14:paraId="48FDD784" w14:textId="0DD1CA25" w:rsidR="003815EA" w:rsidRPr="003948E0" w:rsidRDefault="003948E0" w:rsidP="00A00EF9">
      <w:pPr>
        <w:spacing w:after="120"/>
        <w:jc w:val="both"/>
        <w:rPr>
          <w:rFonts w:ascii="Arial" w:hAnsi="Arial" w:cs="Arial"/>
          <w:color w:val="000000"/>
          <w:lang w:val="en-US"/>
        </w:rPr>
      </w:pPr>
      <w:r w:rsidRPr="00DE67DF">
        <w:rPr>
          <w:rFonts w:ascii="Arial" w:hAnsi="Arial" w:cs="Arial"/>
          <w:b/>
          <w:bCs/>
          <w:color w:val="000000"/>
          <w:lang w:val="en-US"/>
        </w:rPr>
        <w:t xml:space="preserve">Response to question </w:t>
      </w:r>
      <w:r>
        <w:rPr>
          <w:rFonts w:ascii="Arial" w:hAnsi="Arial" w:cs="Arial"/>
          <w:b/>
          <w:bCs/>
          <w:color w:val="000000"/>
          <w:lang w:val="en-US"/>
        </w:rPr>
        <w:t xml:space="preserve">3:  </w:t>
      </w:r>
      <w:r>
        <w:rPr>
          <w:rFonts w:ascii="Arial" w:hAnsi="Arial" w:cs="Arial"/>
          <w:color w:val="000000"/>
          <w:lang w:val="en-US"/>
        </w:rPr>
        <w:t xml:space="preserve">All </w:t>
      </w:r>
      <w:r w:rsidR="0053561F">
        <w:rPr>
          <w:rFonts w:ascii="Arial" w:hAnsi="Arial" w:cs="Arial"/>
          <w:color w:val="000000"/>
          <w:lang w:val="en-US"/>
        </w:rPr>
        <w:t xml:space="preserve">Rel-16 </w:t>
      </w:r>
      <w:proofErr w:type="spellStart"/>
      <w:r>
        <w:rPr>
          <w:rFonts w:ascii="Arial" w:hAnsi="Arial" w:cs="Arial"/>
          <w:color w:val="000000"/>
          <w:lang w:val="en-US"/>
        </w:rPr>
        <w:t>ULFPTx</w:t>
      </w:r>
      <w:proofErr w:type="spellEnd"/>
      <w:r>
        <w:rPr>
          <w:rFonts w:ascii="Arial" w:hAnsi="Arial" w:cs="Arial"/>
          <w:color w:val="000000"/>
          <w:lang w:val="en-US"/>
        </w:rPr>
        <w:t xml:space="preserve"> modes are feasible for FR2 UEs from RAN1’s perspective.</w:t>
      </w:r>
    </w:p>
    <w:p w14:paraId="7F1C12C2" w14:textId="77777777" w:rsidR="003948E0" w:rsidRPr="00550802" w:rsidRDefault="003948E0" w:rsidP="00A00EF9">
      <w:pPr>
        <w:spacing w:after="120"/>
        <w:jc w:val="both"/>
        <w:rPr>
          <w:rFonts w:ascii="Arial" w:hAnsi="Arial" w:cs="Arial"/>
          <w:color w:val="000000"/>
          <w:lang w:val="en-US"/>
        </w:rPr>
      </w:pPr>
    </w:p>
    <w:p w14:paraId="0F3D2252" w14:textId="77777777" w:rsidR="00463675" w:rsidRPr="007B1303" w:rsidRDefault="00463675" w:rsidP="00B1192A">
      <w:pPr>
        <w:keepNext/>
        <w:spacing w:after="120"/>
        <w:rPr>
          <w:rFonts w:ascii="Arial" w:hAnsi="Arial" w:cs="Arial"/>
          <w:b/>
        </w:rPr>
      </w:pPr>
      <w:r w:rsidRPr="007B1303">
        <w:rPr>
          <w:rFonts w:ascii="Arial" w:hAnsi="Arial" w:cs="Arial"/>
          <w:b/>
        </w:rPr>
        <w:lastRenderedPageBreak/>
        <w:t>2. Actio</w:t>
      </w:r>
      <w:bookmarkStart w:id="0" w:name="_GoBack"/>
      <w:bookmarkEnd w:id="0"/>
      <w:r w:rsidRPr="007B1303">
        <w:rPr>
          <w:rFonts w:ascii="Arial" w:hAnsi="Arial" w:cs="Arial"/>
          <w:b/>
        </w:rPr>
        <w:t>ns:</w:t>
      </w:r>
    </w:p>
    <w:p w14:paraId="375A5997" w14:textId="7BF235D9"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BA68C4">
        <w:rPr>
          <w:rFonts w:ascii="Arial" w:hAnsi="Arial" w:cs="Arial"/>
          <w:b/>
          <w:color w:val="000000"/>
        </w:rPr>
        <w:t>4</w:t>
      </w:r>
      <w:r w:rsidR="00A76482" w:rsidRPr="007B1303">
        <w:rPr>
          <w:rFonts w:ascii="Arial" w:hAnsi="Arial" w:cs="Arial"/>
          <w:b/>
          <w:color w:val="000000"/>
        </w:rPr>
        <w:t>:</w:t>
      </w:r>
    </w:p>
    <w:p w14:paraId="202BB95E" w14:textId="51ABCA4F"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C07E87">
        <w:rPr>
          <w:rFonts w:ascii="Arial" w:hAnsi="Arial" w:cs="Arial"/>
          <w:color w:val="000000"/>
        </w:rPr>
        <w:t>RAN1 respectfully requests that RAN</w:t>
      </w:r>
      <w:r w:rsidR="00BA68C4">
        <w:rPr>
          <w:rFonts w:ascii="Arial" w:hAnsi="Arial" w:cs="Arial"/>
          <w:color w:val="000000"/>
        </w:rPr>
        <w:t>4</w:t>
      </w:r>
      <w:r w:rsidR="00C07E87">
        <w:rPr>
          <w:rFonts w:ascii="Arial" w:hAnsi="Arial" w:cs="Arial"/>
          <w:color w:val="000000"/>
        </w:rPr>
        <w:t xml:space="preserve"> </w:t>
      </w:r>
      <w:proofErr w:type="gramStart"/>
      <w:r w:rsidR="00C07E87">
        <w:rPr>
          <w:rFonts w:ascii="Arial" w:hAnsi="Arial" w:cs="Arial"/>
          <w:color w:val="000000"/>
        </w:rPr>
        <w:t>take into account</w:t>
      </w:r>
      <w:proofErr w:type="gramEnd"/>
      <w:r w:rsidR="00BA68C4">
        <w:rPr>
          <w:rFonts w:ascii="Arial" w:hAnsi="Arial" w:cs="Arial"/>
          <w:color w:val="000000"/>
        </w:rPr>
        <w:t xml:space="preserve"> the responses provided for development of RAN4 specifications</w:t>
      </w:r>
      <w:r w:rsidR="00C07E87">
        <w:rPr>
          <w:rFonts w:ascii="Arial" w:hAnsi="Arial" w:cs="Arial"/>
          <w:color w:val="000000"/>
        </w:rPr>
        <w:t>.</w:t>
      </w:r>
    </w:p>
    <w:p w14:paraId="18853306" w14:textId="77777777" w:rsidR="000D1A4B" w:rsidRDefault="000D1A4B">
      <w:pPr>
        <w:spacing w:after="120"/>
        <w:rPr>
          <w:rFonts w:ascii="Arial" w:hAnsi="Arial" w:cs="Arial"/>
          <w:b/>
        </w:rPr>
      </w:pPr>
    </w:p>
    <w:p w14:paraId="0267C638" w14:textId="642930ED" w:rsidR="00463675" w:rsidRPr="007B1303" w:rsidRDefault="000D1A4B">
      <w:pPr>
        <w:spacing w:after="120"/>
        <w:rPr>
          <w:rFonts w:ascii="Arial" w:hAnsi="Arial" w:cs="Arial"/>
          <w:b/>
          <w:color w:val="000000"/>
        </w:rPr>
      </w:pPr>
      <w:r>
        <w:rPr>
          <w:rFonts w:ascii="Arial" w:hAnsi="Arial" w:cs="Arial"/>
          <w:b/>
        </w:rPr>
        <w:t xml:space="preserve">4. </w:t>
      </w:r>
      <w:r w:rsidR="00463675" w:rsidRPr="007B1303">
        <w:rPr>
          <w:rFonts w:ascii="Arial" w:hAnsi="Arial" w:cs="Arial"/>
          <w:b/>
        </w:rPr>
        <w:t>Date of Next TSG-</w:t>
      </w:r>
      <w:r w:rsidR="00421250" w:rsidRPr="007B1303">
        <w:rPr>
          <w:rFonts w:ascii="Arial" w:hAnsi="Arial" w:cs="Arial"/>
          <w:b/>
        </w:rPr>
        <w:t>RAN WG</w:t>
      </w:r>
      <w:r w:rsidR="007A03EB">
        <w:rPr>
          <w:rFonts w:ascii="Arial" w:hAnsi="Arial" w:cs="Arial"/>
          <w:b/>
        </w:rPr>
        <w:t>1</w:t>
      </w:r>
      <w:r w:rsidR="00463675" w:rsidRPr="007B1303">
        <w:rPr>
          <w:rFonts w:ascii="Arial" w:hAnsi="Arial" w:cs="Arial"/>
          <w:b/>
        </w:rPr>
        <w:t xml:space="preserve"> Meetings:</w:t>
      </w:r>
    </w:p>
    <w:p w14:paraId="061EFF8F" w14:textId="2B3025E8" w:rsidR="00516351" w:rsidRDefault="00516351" w:rsidP="00516351">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A84B74">
        <w:rPr>
          <w:rFonts w:ascii="Arial" w:hAnsi="Arial" w:cs="Arial"/>
          <w:bCs/>
          <w:color w:val="000000"/>
        </w:rPr>
        <w:t>3-e</w:t>
      </w:r>
      <w:r w:rsidRPr="00C8484A">
        <w:rPr>
          <w:rFonts w:ascii="Arial" w:hAnsi="Arial" w:cs="Arial"/>
          <w:bCs/>
          <w:color w:val="000000"/>
        </w:rPr>
        <w:t xml:space="preserve"> </w:t>
      </w:r>
      <w:r>
        <w:rPr>
          <w:rFonts w:ascii="Arial" w:hAnsi="Arial" w:cs="Arial"/>
          <w:bCs/>
          <w:color w:val="000000"/>
        </w:rPr>
        <w:tab/>
      </w:r>
      <w:r w:rsidR="00A84B74">
        <w:rPr>
          <w:rFonts w:ascii="Arial" w:hAnsi="Arial" w:cs="Arial"/>
          <w:bCs/>
          <w:color w:val="000000"/>
        </w:rPr>
        <w:t xml:space="preserve">26 Oct. – 13 Nov. </w:t>
      </w:r>
      <w:r w:rsidRPr="00C8484A">
        <w:rPr>
          <w:rFonts w:ascii="Arial" w:hAnsi="Arial" w:cs="Arial"/>
          <w:bCs/>
          <w:color w:val="000000"/>
        </w:rPr>
        <w:t>20</w:t>
      </w:r>
      <w:r>
        <w:rPr>
          <w:rFonts w:ascii="Arial" w:hAnsi="Arial" w:cs="Arial"/>
          <w:bCs/>
          <w:color w:val="000000"/>
        </w:rPr>
        <w:t>20</w:t>
      </w:r>
      <w:r>
        <w:rPr>
          <w:rFonts w:ascii="Arial" w:hAnsi="Arial" w:cs="Arial"/>
          <w:bCs/>
          <w:color w:val="000000"/>
        </w:rPr>
        <w:tab/>
      </w:r>
      <w:r>
        <w:rPr>
          <w:rFonts w:ascii="Arial" w:hAnsi="Arial" w:cs="Arial"/>
          <w:bCs/>
          <w:color w:val="000000"/>
        </w:rPr>
        <w:tab/>
      </w:r>
      <w:r w:rsidR="00A84B74">
        <w:rPr>
          <w:rFonts w:ascii="Arial" w:hAnsi="Arial" w:cs="Arial"/>
          <w:bCs/>
          <w:color w:val="000000"/>
        </w:rPr>
        <w:t>Electronic Meeting</w:t>
      </w:r>
    </w:p>
    <w:p w14:paraId="4E4AAB45" w14:textId="2302A09D" w:rsidR="00516351" w:rsidRDefault="00A02665" w:rsidP="002C0D62">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A84B74">
        <w:rPr>
          <w:rFonts w:ascii="Arial" w:hAnsi="Arial" w:cs="Arial"/>
          <w:bCs/>
          <w:color w:val="000000"/>
        </w:rPr>
        <w:t>4</w:t>
      </w:r>
      <w:r w:rsidRPr="00C8484A">
        <w:rPr>
          <w:rFonts w:ascii="Arial" w:hAnsi="Arial" w:cs="Arial"/>
          <w:bCs/>
          <w:color w:val="000000"/>
        </w:rPr>
        <w:t xml:space="preserve"> </w:t>
      </w:r>
      <w:r>
        <w:rPr>
          <w:rFonts w:ascii="Arial" w:hAnsi="Arial" w:cs="Arial"/>
          <w:bCs/>
          <w:color w:val="000000"/>
        </w:rPr>
        <w:tab/>
      </w:r>
      <w:r w:rsidR="00A84B74">
        <w:rPr>
          <w:rFonts w:ascii="Arial" w:hAnsi="Arial" w:cs="Arial"/>
          <w:bCs/>
          <w:color w:val="000000"/>
        </w:rPr>
        <w:t xml:space="preserve">1 – </w:t>
      </w:r>
      <w:proofErr w:type="gramStart"/>
      <w:r w:rsidR="00A84B74">
        <w:rPr>
          <w:rFonts w:ascii="Arial" w:hAnsi="Arial" w:cs="Arial"/>
          <w:bCs/>
          <w:color w:val="000000"/>
        </w:rPr>
        <w:t xml:space="preserve">5 </w:t>
      </w:r>
      <w:r>
        <w:rPr>
          <w:rFonts w:ascii="Arial" w:hAnsi="Arial" w:cs="Arial"/>
          <w:bCs/>
          <w:color w:val="000000"/>
        </w:rPr>
        <w:t xml:space="preserve"> </w:t>
      </w:r>
      <w:r w:rsidR="00A84B74">
        <w:rPr>
          <w:rFonts w:ascii="Arial" w:hAnsi="Arial" w:cs="Arial"/>
          <w:bCs/>
          <w:color w:val="000000"/>
        </w:rPr>
        <w:t>March</w:t>
      </w:r>
      <w:proofErr w:type="gramEnd"/>
      <w:r w:rsidR="00A84B74">
        <w:rPr>
          <w:rFonts w:ascii="Arial" w:hAnsi="Arial" w:cs="Arial"/>
          <w:bCs/>
          <w:color w:val="000000"/>
        </w:rPr>
        <w:t xml:space="preserve"> </w:t>
      </w:r>
      <w:r w:rsidRPr="00C8484A">
        <w:rPr>
          <w:rFonts w:ascii="Arial" w:hAnsi="Arial" w:cs="Arial"/>
          <w:bCs/>
          <w:color w:val="000000"/>
        </w:rPr>
        <w:t>20</w:t>
      </w:r>
      <w:r>
        <w:rPr>
          <w:rFonts w:ascii="Arial" w:hAnsi="Arial" w:cs="Arial"/>
          <w:bCs/>
          <w:color w:val="000000"/>
        </w:rPr>
        <w:t>2</w:t>
      </w:r>
      <w:r w:rsidR="00A84B74">
        <w:rPr>
          <w:rFonts w:ascii="Arial" w:hAnsi="Arial" w:cs="Arial"/>
          <w:bCs/>
          <w:color w:val="000000"/>
        </w:rPr>
        <w:t>1</w:t>
      </w:r>
      <w:r>
        <w:rPr>
          <w:rFonts w:ascii="Arial" w:hAnsi="Arial" w:cs="Arial"/>
          <w:bCs/>
          <w:color w:val="000000"/>
        </w:rPr>
        <w:tab/>
      </w:r>
      <w:r>
        <w:rPr>
          <w:rFonts w:ascii="Arial" w:hAnsi="Arial" w:cs="Arial"/>
          <w:bCs/>
          <w:color w:val="000000"/>
        </w:rPr>
        <w:tab/>
      </w:r>
      <w:r w:rsidR="00A84B74">
        <w:rPr>
          <w:rFonts w:ascii="Arial" w:hAnsi="Arial" w:cs="Arial"/>
          <w:bCs/>
          <w:color w:val="000000"/>
        </w:rPr>
        <w:t>Athens</w:t>
      </w:r>
      <w:r>
        <w:rPr>
          <w:rFonts w:ascii="Arial" w:hAnsi="Arial" w:cs="Arial"/>
          <w:bCs/>
          <w:color w:val="000000"/>
        </w:rPr>
        <w:t xml:space="preserve">, </w:t>
      </w:r>
      <w:r w:rsidR="00A84B74">
        <w:rPr>
          <w:rFonts w:ascii="Arial" w:hAnsi="Arial" w:cs="Arial"/>
          <w:bCs/>
          <w:color w:val="000000"/>
        </w:rPr>
        <w:t>Greece</w:t>
      </w:r>
    </w:p>
    <w:sectPr w:rsidR="00516351"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4A5B1" w14:textId="77777777" w:rsidR="00091D74" w:rsidRDefault="00091D74">
      <w:r>
        <w:separator/>
      </w:r>
    </w:p>
  </w:endnote>
  <w:endnote w:type="continuationSeparator" w:id="0">
    <w:p w14:paraId="04BA7822" w14:textId="77777777" w:rsidR="00091D74" w:rsidRDefault="0009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197BB" w14:textId="77777777" w:rsidR="00091D74" w:rsidRDefault="00091D74">
      <w:r>
        <w:separator/>
      </w:r>
    </w:p>
  </w:footnote>
  <w:footnote w:type="continuationSeparator" w:id="0">
    <w:p w14:paraId="17CE4152" w14:textId="77777777" w:rsidR="00091D74" w:rsidRDefault="00091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5"/>
  </w:num>
  <w:num w:numId="4">
    <w:abstractNumId w:val="4"/>
  </w:num>
  <w:num w:numId="5">
    <w:abstractNumId w:val="5"/>
  </w:num>
  <w:num w:numId="6">
    <w:abstractNumId w:val="18"/>
  </w:num>
  <w:num w:numId="7">
    <w:abstractNumId w:val="26"/>
  </w:num>
  <w:num w:numId="8">
    <w:abstractNumId w:val="24"/>
  </w:num>
  <w:num w:numId="9">
    <w:abstractNumId w:val="12"/>
  </w:num>
  <w:num w:numId="10">
    <w:abstractNumId w:val="2"/>
  </w:num>
  <w:num w:numId="11">
    <w:abstractNumId w:val="7"/>
  </w:num>
  <w:num w:numId="12">
    <w:abstractNumId w:val="6"/>
  </w:num>
  <w:num w:numId="13">
    <w:abstractNumId w:val="8"/>
  </w:num>
  <w:num w:numId="14">
    <w:abstractNumId w:val="10"/>
  </w:num>
  <w:num w:numId="15">
    <w:abstractNumId w:val="16"/>
  </w:num>
  <w:num w:numId="16">
    <w:abstractNumId w:val="25"/>
  </w:num>
  <w:num w:numId="17">
    <w:abstractNumId w:val="13"/>
  </w:num>
  <w:num w:numId="18">
    <w:abstractNumId w:val="21"/>
  </w:num>
  <w:num w:numId="19">
    <w:abstractNumId w:val="1"/>
  </w:num>
  <w:num w:numId="20">
    <w:abstractNumId w:val="14"/>
  </w:num>
  <w:num w:numId="21">
    <w:abstractNumId w:val="11"/>
  </w:num>
  <w:num w:numId="22">
    <w:abstractNumId w:val="0"/>
  </w:num>
  <w:num w:numId="23">
    <w:abstractNumId w:val="20"/>
  </w:num>
  <w:num w:numId="24">
    <w:abstractNumId w:val="0"/>
  </w:num>
  <w:num w:numId="25">
    <w:abstractNumId w:val="17"/>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7"/>
  </w:num>
  <w:num w:numId="3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5D"/>
    <w:rsid w:val="00003C0C"/>
    <w:rsid w:val="000102FA"/>
    <w:rsid w:val="000248CD"/>
    <w:rsid w:val="00025B7D"/>
    <w:rsid w:val="00027AA4"/>
    <w:rsid w:val="00030DB4"/>
    <w:rsid w:val="000327F4"/>
    <w:rsid w:val="00046E04"/>
    <w:rsid w:val="00047616"/>
    <w:rsid w:val="00051BDA"/>
    <w:rsid w:val="000548E3"/>
    <w:rsid w:val="0005504F"/>
    <w:rsid w:val="00056D7B"/>
    <w:rsid w:val="0006016E"/>
    <w:rsid w:val="00066456"/>
    <w:rsid w:val="00070518"/>
    <w:rsid w:val="000722B7"/>
    <w:rsid w:val="00075360"/>
    <w:rsid w:val="0007590B"/>
    <w:rsid w:val="00082D36"/>
    <w:rsid w:val="00083B93"/>
    <w:rsid w:val="00085177"/>
    <w:rsid w:val="000861A9"/>
    <w:rsid w:val="00087549"/>
    <w:rsid w:val="00091D74"/>
    <w:rsid w:val="00095605"/>
    <w:rsid w:val="000B274A"/>
    <w:rsid w:val="000B574F"/>
    <w:rsid w:val="000B72D2"/>
    <w:rsid w:val="000B7694"/>
    <w:rsid w:val="000C7C98"/>
    <w:rsid w:val="000D0101"/>
    <w:rsid w:val="000D1A4B"/>
    <w:rsid w:val="000D4061"/>
    <w:rsid w:val="000D4D75"/>
    <w:rsid w:val="000D60B1"/>
    <w:rsid w:val="000E0821"/>
    <w:rsid w:val="000E2C66"/>
    <w:rsid w:val="000E4544"/>
    <w:rsid w:val="000F41A6"/>
    <w:rsid w:val="000F670A"/>
    <w:rsid w:val="000F7BEC"/>
    <w:rsid w:val="00100A42"/>
    <w:rsid w:val="00102F6A"/>
    <w:rsid w:val="00104EAE"/>
    <w:rsid w:val="001061D3"/>
    <w:rsid w:val="001123D0"/>
    <w:rsid w:val="00112703"/>
    <w:rsid w:val="00120476"/>
    <w:rsid w:val="00122486"/>
    <w:rsid w:val="00123CB7"/>
    <w:rsid w:val="00125F5F"/>
    <w:rsid w:val="0012775E"/>
    <w:rsid w:val="00136834"/>
    <w:rsid w:val="001432B2"/>
    <w:rsid w:val="00144759"/>
    <w:rsid w:val="00153DDD"/>
    <w:rsid w:val="00157C91"/>
    <w:rsid w:val="001651EC"/>
    <w:rsid w:val="00165FC6"/>
    <w:rsid w:val="001A09EB"/>
    <w:rsid w:val="001A10E1"/>
    <w:rsid w:val="001A7AB4"/>
    <w:rsid w:val="001B6C10"/>
    <w:rsid w:val="001C648E"/>
    <w:rsid w:val="001C6517"/>
    <w:rsid w:val="001D6CE7"/>
    <w:rsid w:val="001E2DA8"/>
    <w:rsid w:val="001E4291"/>
    <w:rsid w:val="001F088F"/>
    <w:rsid w:val="001F1EA9"/>
    <w:rsid w:val="001F5FD0"/>
    <w:rsid w:val="001F6093"/>
    <w:rsid w:val="00204075"/>
    <w:rsid w:val="002068F5"/>
    <w:rsid w:val="00215DF7"/>
    <w:rsid w:val="00216F6A"/>
    <w:rsid w:val="00217429"/>
    <w:rsid w:val="00224739"/>
    <w:rsid w:val="002250D9"/>
    <w:rsid w:val="00226F71"/>
    <w:rsid w:val="00241FF4"/>
    <w:rsid w:val="00253466"/>
    <w:rsid w:val="00255F33"/>
    <w:rsid w:val="0026001C"/>
    <w:rsid w:val="00272EDF"/>
    <w:rsid w:val="00273279"/>
    <w:rsid w:val="00274337"/>
    <w:rsid w:val="00291BE6"/>
    <w:rsid w:val="002A48C7"/>
    <w:rsid w:val="002A575C"/>
    <w:rsid w:val="002B499F"/>
    <w:rsid w:val="002C0D62"/>
    <w:rsid w:val="002C2896"/>
    <w:rsid w:val="002C6D45"/>
    <w:rsid w:val="002D45AD"/>
    <w:rsid w:val="002E02F1"/>
    <w:rsid w:val="002E108C"/>
    <w:rsid w:val="002E7134"/>
    <w:rsid w:val="002F168B"/>
    <w:rsid w:val="00305A7B"/>
    <w:rsid w:val="003068B0"/>
    <w:rsid w:val="00310851"/>
    <w:rsid w:val="003149FA"/>
    <w:rsid w:val="00322DC4"/>
    <w:rsid w:val="003269CA"/>
    <w:rsid w:val="00327332"/>
    <w:rsid w:val="0033402C"/>
    <w:rsid w:val="00334CD3"/>
    <w:rsid w:val="00340AC4"/>
    <w:rsid w:val="00341DB0"/>
    <w:rsid w:val="00343E7F"/>
    <w:rsid w:val="0034782D"/>
    <w:rsid w:val="003564D0"/>
    <w:rsid w:val="00357D89"/>
    <w:rsid w:val="003620FA"/>
    <w:rsid w:val="0036330F"/>
    <w:rsid w:val="0036427A"/>
    <w:rsid w:val="00373FB7"/>
    <w:rsid w:val="003753C7"/>
    <w:rsid w:val="003758D3"/>
    <w:rsid w:val="00377408"/>
    <w:rsid w:val="003815EA"/>
    <w:rsid w:val="0038166C"/>
    <w:rsid w:val="00382E42"/>
    <w:rsid w:val="0039096B"/>
    <w:rsid w:val="00393622"/>
    <w:rsid w:val="00393F4A"/>
    <w:rsid w:val="003948E0"/>
    <w:rsid w:val="003A27EA"/>
    <w:rsid w:val="003A29E6"/>
    <w:rsid w:val="003A5084"/>
    <w:rsid w:val="003A529E"/>
    <w:rsid w:val="003B26C2"/>
    <w:rsid w:val="003C0D23"/>
    <w:rsid w:val="003C11D3"/>
    <w:rsid w:val="003C3159"/>
    <w:rsid w:val="003C5BDA"/>
    <w:rsid w:val="003D0334"/>
    <w:rsid w:val="003D05F6"/>
    <w:rsid w:val="003D532B"/>
    <w:rsid w:val="003E0A52"/>
    <w:rsid w:val="003E7D2B"/>
    <w:rsid w:val="003F2E89"/>
    <w:rsid w:val="003F3DA3"/>
    <w:rsid w:val="00403A92"/>
    <w:rsid w:val="00403FA5"/>
    <w:rsid w:val="00420E3B"/>
    <w:rsid w:val="00421250"/>
    <w:rsid w:val="0043296C"/>
    <w:rsid w:val="00435506"/>
    <w:rsid w:val="00447A00"/>
    <w:rsid w:val="00453116"/>
    <w:rsid w:val="00463675"/>
    <w:rsid w:val="00473647"/>
    <w:rsid w:val="0048125F"/>
    <w:rsid w:val="0048644F"/>
    <w:rsid w:val="00492CAE"/>
    <w:rsid w:val="00495BED"/>
    <w:rsid w:val="00496A33"/>
    <w:rsid w:val="00497D1C"/>
    <w:rsid w:val="004A5AC1"/>
    <w:rsid w:val="004B44C7"/>
    <w:rsid w:val="004B7BD4"/>
    <w:rsid w:val="004C661D"/>
    <w:rsid w:val="004E2A9F"/>
    <w:rsid w:val="004E7435"/>
    <w:rsid w:val="004F0FFC"/>
    <w:rsid w:val="005019BC"/>
    <w:rsid w:val="005022A7"/>
    <w:rsid w:val="00511077"/>
    <w:rsid w:val="00511E6A"/>
    <w:rsid w:val="005141F1"/>
    <w:rsid w:val="00515894"/>
    <w:rsid w:val="00516351"/>
    <w:rsid w:val="005168FF"/>
    <w:rsid w:val="00531012"/>
    <w:rsid w:val="005316AE"/>
    <w:rsid w:val="0053561F"/>
    <w:rsid w:val="00535EE4"/>
    <w:rsid w:val="00541464"/>
    <w:rsid w:val="0054150E"/>
    <w:rsid w:val="00545D90"/>
    <w:rsid w:val="005476F4"/>
    <w:rsid w:val="00550802"/>
    <w:rsid w:val="005561EC"/>
    <w:rsid w:val="00562A6F"/>
    <w:rsid w:val="00562DDC"/>
    <w:rsid w:val="00562E63"/>
    <w:rsid w:val="005642D5"/>
    <w:rsid w:val="00564DE9"/>
    <w:rsid w:val="0056765C"/>
    <w:rsid w:val="00567B02"/>
    <w:rsid w:val="0058084B"/>
    <w:rsid w:val="005815B3"/>
    <w:rsid w:val="00581944"/>
    <w:rsid w:val="00593071"/>
    <w:rsid w:val="0059400D"/>
    <w:rsid w:val="00595C2D"/>
    <w:rsid w:val="005971F4"/>
    <w:rsid w:val="00597852"/>
    <w:rsid w:val="005A0FEE"/>
    <w:rsid w:val="005A4B04"/>
    <w:rsid w:val="005A638B"/>
    <w:rsid w:val="005A6FFF"/>
    <w:rsid w:val="005A7F1A"/>
    <w:rsid w:val="005B1F43"/>
    <w:rsid w:val="005C4EB0"/>
    <w:rsid w:val="005D2F83"/>
    <w:rsid w:val="005E11D9"/>
    <w:rsid w:val="005E1C8D"/>
    <w:rsid w:val="005E327C"/>
    <w:rsid w:val="005E44A2"/>
    <w:rsid w:val="005E4F25"/>
    <w:rsid w:val="005E6537"/>
    <w:rsid w:val="005E67CA"/>
    <w:rsid w:val="005F0016"/>
    <w:rsid w:val="005F029D"/>
    <w:rsid w:val="005F529C"/>
    <w:rsid w:val="00601E0F"/>
    <w:rsid w:val="0060656B"/>
    <w:rsid w:val="00613141"/>
    <w:rsid w:val="0062010B"/>
    <w:rsid w:val="00621616"/>
    <w:rsid w:val="00640BB1"/>
    <w:rsid w:val="0064464A"/>
    <w:rsid w:val="00646896"/>
    <w:rsid w:val="0065156F"/>
    <w:rsid w:val="00660614"/>
    <w:rsid w:val="00671FE3"/>
    <w:rsid w:val="00675187"/>
    <w:rsid w:val="00677856"/>
    <w:rsid w:val="006808E2"/>
    <w:rsid w:val="0069270F"/>
    <w:rsid w:val="006976B0"/>
    <w:rsid w:val="006A7DBE"/>
    <w:rsid w:val="006B3529"/>
    <w:rsid w:val="006B5825"/>
    <w:rsid w:val="006C0182"/>
    <w:rsid w:val="006C0B86"/>
    <w:rsid w:val="006C272A"/>
    <w:rsid w:val="006C4008"/>
    <w:rsid w:val="006E14E0"/>
    <w:rsid w:val="006F349E"/>
    <w:rsid w:val="006F5B1A"/>
    <w:rsid w:val="00704E5B"/>
    <w:rsid w:val="0070687C"/>
    <w:rsid w:val="00712BE2"/>
    <w:rsid w:val="0071345B"/>
    <w:rsid w:val="007142D7"/>
    <w:rsid w:val="00716797"/>
    <w:rsid w:val="00721F6B"/>
    <w:rsid w:val="0072449F"/>
    <w:rsid w:val="007258F4"/>
    <w:rsid w:val="00725A62"/>
    <w:rsid w:val="00725EBC"/>
    <w:rsid w:val="00731615"/>
    <w:rsid w:val="00735B16"/>
    <w:rsid w:val="007420ED"/>
    <w:rsid w:val="00744FE4"/>
    <w:rsid w:val="00750D32"/>
    <w:rsid w:val="007512FA"/>
    <w:rsid w:val="0076095D"/>
    <w:rsid w:val="00760ABF"/>
    <w:rsid w:val="00770EB9"/>
    <w:rsid w:val="00774D2B"/>
    <w:rsid w:val="00774E81"/>
    <w:rsid w:val="00781284"/>
    <w:rsid w:val="007915FD"/>
    <w:rsid w:val="00792AA0"/>
    <w:rsid w:val="00797F3A"/>
    <w:rsid w:val="007A03EB"/>
    <w:rsid w:val="007A5948"/>
    <w:rsid w:val="007A6950"/>
    <w:rsid w:val="007A7334"/>
    <w:rsid w:val="007A749A"/>
    <w:rsid w:val="007B1303"/>
    <w:rsid w:val="007B756E"/>
    <w:rsid w:val="007C30A7"/>
    <w:rsid w:val="007C3DEB"/>
    <w:rsid w:val="007C63FD"/>
    <w:rsid w:val="007D421F"/>
    <w:rsid w:val="007E2D59"/>
    <w:rsid w:val="007E4A21"/>
    <w:rsid w:val="007F2250"/>
    <w:rsid w:val="007F57E8"/>
    <w:rsid w:val="008050C6"/>
    <w:rsid w:val="00812454"/>
    <w:rsid w:val="008151F3"/>
    <w:rsid w:val="008169FF"/>
    <w:rsid w:val="0081729A"/>
    <w:rsid w:val="008175D4"/>
    <w:rsid w:val="00821FA5"/>
    <w:rsid w:val="00824017"/>
    <w:rsid w:val="00825283"/>
    <w:rsid w:val="00827625"/>
    <w:rsid w:val="00827CA3"/>
    <w:rsid w:val="00843095"/>
    <w:rsid w:val="00843D34"/>
    <w:rsid w:val="008470E5"/>
    <w:rsid w:val="008503E5"/>
    <w:rsid w:val="0085057D"/>
    <w:rsid w:val="00855C77"/>
    <w:rsid w:val="008637D8"/>
    <w:rsid w:val="00867C0A"/>
    <w:rsid w:val="008976A7"/>
    <w:rsid w:val="008A74E3"/>
    <w:rsid w:val="008B15A8"/>
    <w:rsid w:val="008B2120"/>
    <w:rsid w:val="008B52E0"/>
    <w:rsid w:val="008B66D1"/>
    <w:rsid w:val="008C6E69"/>
    <w:rsid w:val="008D39C7"/>
    <w:rsid w:val="008D7965"/>
    <w:rsid w:val="008E0015"/>
    <w:rsid w:val="008E091C"/>
    <w:rsid w:val="008E28F6"/>
    <w:rsid w:val="008E34E4"/>
    <w:rsid w:val="008F2EB8"/>
    <w:rsid w:val="008F3E07"/>
    <w:rsid w:val="008F3F0E"/>
    <w:rsid w:val="00906F27"/>
    <w:rsid w:val="00913370"/>
    <w:rsid w:val="00913B6C"/>
    <w:rsid w:val="00923E7C"/>
    <w:rsid w:val="00925368"/>
    <w:rsid w:val="00944C09"/>
    <w:rsid w:val="00946BFA"/>
    <w:rsid w:val="00957DAD"/>
    <w:rsid w:val="00962CCA"/>
    <w:rsid w:val="009643C7"/>
    <w:rsid w:val="00964798"/>
    <w:rsid w:val="00964C9F"/>
    <w:rsid w:val="00967509"/>
    <w:rsid w:val="0097121F"/>
    <w:rsid w:val="00972549"/>
    <w:rsid w:val="0097440F"/>
    <w:rsid w:val="009752E9"/>
    <w:rsid w:val="009862DE"/>
    <w:rsid w:val="009866E9"/>
    <w:rsid w:val="00990E86"/>
    <w:rsid w:val="00996BDF"/>
    <w:rsid w:val="009979E4"/>
    <w:rsid w:val="00997D43"/>
    <w:rsid w:val="009A09FA"/>
    <w:rsid w:val="009A0CF3"/>
    <w:rsid w:val="009B0EA3"/>
    <w:rsid w:val="009B1F74"/>
    <w:rsid w:val="009B6784"/>
    <w:rsid w:val="009C1C36"/>
    <w:rsid w:val="009C26FB"/>
    <w:rsid w:val="009C30C0"/>
    <w:rsid w:val="009C435A"/>
    <w:rsid w:val="009C75D8"/>
    <w:rsid w:val="009C7F09"/>
    <w:rsid w:val="009E4C41"/>
    <w:rsid w:val="009F0D23"/>
    <w:rsid w:val="009F3770"/>
    <w:rsid w:val="009F3CDF"/>
    <w:rsid w:val="009F7327"/>
    <w:rsid w:val="00A00EF9"/>
    <w:rsid w:val="00A02665"/>
    <w:rsid w:val="00A06BB4"/>
    <w:rsid w:val="00A14332"/>
    <w:rsid w:val="00A14711"/>
    <w:rsid w:val="00A20482"/>
    <w:rsid w:val="00A2579D"/>
    <w:rsid w:val="00A33544"/>
    <w:rsid w:val="00A37F3F"/>
    <w:rsid w:val="00A429DD"/>
    <w:rsid w:val="00A5005D"/>
    <w:rsid w:val="00A6127B"/>
    <w:rsid w:val="00A620B2"/>
    <w:rsid w:val="00A676A3"/>
    <w:rsid w:val="00A747E5"/>
    <w:rsid w:val="00A75BAB"/>
    <w:rsid w:val="00A76482"/>
    <w:rsid w:val="00A82D3F"/>
    <w:rsid w:val="00A84B74"/>
    <w:rsid w:val="00A93ED7"/>
    <w:rsid w:val="00AA76FD"/>
    <w:rsid w:val="00AB111E"/>
    <w:rsid w:val="00AB1FAA"/>
    <w:rsid w:val="00AB3281"/>
    <w:rsid w:val="00AC1117"/>
    <w:rsid w:val="00AC3C04"/>
    <w:rsid w:val="00AC612C"/>
    <w:rsid w:val="00AD3FE6"/>
    <w:rsid w:val="00AD486A"/>
    <w:rsid w:val="00AD4EAE"/>
    <w:rsid w:val="00AE3573"/>
    <w:rsid w:val="00AF080E"/>
    <w:rsid w:val="00AF1BEC"/>
    <w:rsid w:val="00B047FB"/>
    <w:rsid w:val="00B0605B"/>
    <w:rsid w:val="00B1192A"/>
    <w:rsid w:val="00B1393D"/>
    <w:rsid w:val="00B15DC5"/>
    <w:rsid w:val="00B23E8D"/>
    <w:rsid w:val="00B2483B"/>
    <w:rsid w:val="00B27E31"/>
    <w:rsid w:val="00B42797"/>
    <w:rsid w:val="00B53B6A"/>
    <w:rsid w:val="00B57F81"/>
    <w:rsid w:val="00B624DD"/>
    <w:rsid w:val="00B72216"/>
    <w:rsid w:val="00B7634F"/>
    <w:rsid w:val="00B76F61"/>
    <w:rsid w:val="00B77422"/>
    <w:rsid w:val="00B80116"/>
    <w:rsid w:val="00B8164A"/>
    <w:rsid w:val="00BA0437"/>
    <w:rsid w:val="00BA68C4"/>
    <w:rsid w:val="00BB0D86"/>
    <w:rsid w:val="00BC0DCE"/>
    <w:rsid w:val="00BC4B1B"/>
    <w:rsid w:val="00BD1486"/>
    <w:rsid w:val="00BE13FE"/>
    <w:rsid w:val="00BE321E"/>
    <w:rsid w:val="00BE5982"/>
    <w:rsid w:val="00BE63D5"/>
    <w:rsid w:val="00C043F3"/>
    <w:rsid w:val="00C07E87"/>
    <w:rsid w:val="00C07F5B"/>
    <w:rsid w:val="00C13392"/>
    <w:rsid w:val="00C15F91"/>
    <w:rsid w:val="00C21DBF"/>
    <w:rsid w:val="00C23400"/>
    <w:rsid w:val="00C27095"/>
    <w:rsid w:val="00C33478"/>
    <w:rsid w:val="00C447D5"/>
    <w:rsid w:val="00C458CB"/>
    <w:rsid w:val="00C470C4"/>
    <w:rsid w:val="00C513A5"/>
    <w:rsid w:val="00C52402"/>
    <w:rsid w:val="00C52633"/>
    <w:rsid w:val="00C55835"/>
    <w:rsid w:val="00C62905"/>
    <w:rsid w:val="00C6441F"/>
    <w:rsid w:val="00C6527B"/>
    <w:rsid w:val="00C709CF"/>
    <w:rsid w:val="00C731C6"/>
    <w:rsid w:val="00C8126F"/>
    <w:rsid w:val="00C82EE0"/>
    <w:rsid w:val="00C8484A"/>
    <w:rsid w:val="00C85CE4"/>
    <w:rsid w:val="00C93A2B"/>
    <w:rsid w:val="00C93DE5"/>
    <w:rsid w:val="00CA6579"/>
    <w:rsid w:val="00CB5C93"/>
    <w:rsid w:val="00CB6A98"/>
    <w:rsid w:val="00CC7621"/>
    <w:rsid w:val="00CD3CA6"/>
    <w:rsid w:val="00CE0AA7"/>
    <w:rsid w:val="00CE2FA2"/>
    <w:rsid w:val="00CE4CC4"/>
    <w:rsid w:val="00CE7ED8"/>
    <w:rsid w:val="00CF234A"/>
    <w:rsid w:val="00D0636C"/>
    <w:rsid w:val="00D07ED0"/>
    <w:rsid w:val="00D15811"/>
    <w:rsid w:val="00D210B9"/>
    <w:rsid w:val="00D2498E"/>
    <w:rsid w:val="00D263C2"/>
    <w:rsid w:val="00D34011"/>
    <w:rsid w:val="00D357FC"/>
    <w:rsid w:val="00D42DCF"/>
    <w:rsid w:val="00D44031"/>
    <w:rsid w:val="00D44D2E"/>
    <w:rsid w:val="00D44E7D"/>
    <w:rsid w:val="00D47B2F"/>
    <w:rsid w:val="00D51744"/>
    <w:rsid w:val="00D616E4"/>
    <w:rsid w:val="00D63019"/>
    <w:rsid w:val="00D6702A"/>
    <w:rsid w:val="00D7016F"/>
    <w:rsid w:val="00D74869"/>
    <w:rsid w:val="00D75098"/>
    <w:rsid w:val="00D946C7"/>
    <w:rsid w:val="00D96DE4"/>
    <w:rsid w:val="00DA74AC"/>
    <w:rsid w:val="00DA7555"/>
    <w:rsid w:val="00DB08A9"/>
    <w:rsid w:val="00DB0B9D"/>
    <w:rsid w:val="00DB188C"/>
    <w:rsid w:val="00DB22D0"/>
    <w:rsid w:val="00DB2FEB"/>
    <w:rsid w:val="00DB5C8F"/>
    <w:rsid w:val="00DC22A0"/>
    <w:rsid w:val="00DC46F2"/>
    <w:rsid w:val="00DC56C1"/>
    <w:rsid w:val="00DC6007"/>
    <w:rsid w:val="00DC6947"/>
    <w:rsid w:val="00DD5D28"/>
    <w:rsid w:val="00DE67DF"/>
    <w:rsid w:val="00DE7B68"/>
    <w:rsid w:val="00DF03D5"/>
    <w:rsid w:val="00DF2E0B"/>
    <w:rsid w:val="00DF473E"/>
    <w:rsid w:val="00E07CC9"/>
    <w:rsid w:val="00E122AD"/>
    <w:rsid w:val="00E12692"/>
    <w:rsid w:val="00E142D3"/>
    <w:rsid w:val="00E15C4A"/>
    <w:rsid w:val="00E35CFE"/>
    <w:rsid w:val="00E40B4C"/>
    <w:rsid w:val="00E453F3"/>
    <w:rsid w:val="00E5263B"/>
    <w:rsid w:val="00E52924"/>
    <w:rsid w:val="00E53833"/>
    <w:rsid w:val="00E53C2C"/>
    <w:rsid w:val="00E56D73"/>
    <w:rsid w:val="00E602A8"/>
    <w:rsid w:val="00E60BD3"/>
    <w:rsid w:val="00E6322C"/>
    <w:rsid w:val="00E718C7"/>
    <w:rsid w:val="00E75280"/>
    <w:rsid w:val="00E75AB4"/>
    <w:rsid w:val="00EA225D"/>
    <w:rsid w:val="00EB0C3C"/>
    <w:rsid w:val="00EC7375"/>
    <w:rsid w:val="00ED3FA7"/>
    <w:rsid w:val="00ED5A73"/>
    <w:rsid w:val="00ED6D44"/>
    <w:rsid w:val="00EE2EF6"/>
    <w:rsid w:val="00EF16A5"/>
    <w:rsid w:val="00F00FF5"/>
    <w:rsid w:val="00F07A12"/>
    <w:rsid w:val="00F106AB"/>
    <w:rsid w:val="00F1189A"/>
    <w:rsid w:val="00F2336C"/>
    <w:rsid w:val="00F24C01"/>
    <w:rsid w:val="00F32880"/>
    <w:rsid w:val="00F36CB6"/>
    <w:rsid w:val="00F428D7"/>
    <w:rsid w:val="00F469C6"/>
    <w:rsid w:val="00F6084F"/>
    <w:rsid w:val="00F636B6"/>
    <w:rsid w:val="00F663FA"/>
    <w:rsid w:val="00F7164D"/>
    <w:rsid w:val="00F73C7C"/>
    <w:rsid w:val="00F754B3"/>
    <w:rsid w:val="00F85810"/>
    <w:rsid w:val="00F85E59"/>
    <w:rsid w:val="00F8764F"/>
    <w:rsid w:val="00F90C04"/>
    <w:rsid w:val="00F94058"/>
    <w:rsid w:val="00F94B23"/>
    <w:rsid w:val="00F962EC"/>
    <w:rsid w:val="00FB4EF3"/>
    <w:rsid w:val="00FC14A3"/>
    <w:rsid w:val="00FC3D9A"/>
    <w:rsid w:val="00FC5E97"/>
    <w:rsid w:val="00FD63BE"/>
    <w:rsid w:val="00FD69C8"/>
    <w:rsid w:val="00FD6D0A"/>
    <w:rsid w:val="00FE1CAF"/>
    <w:rsid w:val="00FE385B"/>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69B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styleId="UnresolvedMention">
    <w:name w:val="Unresolved Mention"/>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4_Radio/TSGR4_95_e/Docs/R4-20091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2020-08-08T06:14:00Z</dcterms:created>
  <dcterms:modified xsi:type="dcterms:W3CDTF">2020-08-08T06:14:00Z</dcterms:modified>
</cp:coreProperties>
</file>